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29" w:rsidRDefault="00E87229" w:rsidP="00E87229">
      <w:pPr>
        <w:spacing w:after="0" w:line="240" w:lineRule="auto"/>
        <w:jc w:val="both"/>
        <w:rPr>
          <w:rFonts w:ascii="Arial" w:hAnsi="Arial" w:cs="Arial"/>
          <w:b/>
        </w:rPr>
      </w:pPr>
      <w:bookmarkStart w:id="0" w:name="_GoBack"/>
      <w:r>
        <w:rPr>
          <w:rFonts w:ascii="Arial" w:hAnsi="Arial" w:cs="Arial"/>
          <w:b/>
        </w:rPr>
        <w:t>Criteri ammissione – Validità anno scolastico – Voto di ammissione – Voto finale esame Stato</w:t>
      </w:r>
    </w:p>
    <w:bookmarkEnd w:id="0"/>
    <w:p w:rsidR="00E87229" w:rsidRDefault="00E87229" w:rsidP="00E87229">
      <w:pPr>
        <w:spacing w:after="0" w:line="240" w:lineRule="auto"/>
        <w:jc w:val="both"/>
        <w:rPr>
          <w:rFonts w:ascii="Arial" w:hAnsi="Arial" w:cs="Arial"/>
          <w:b/>
        </w:rPr>
      </w:pPr>
    </w:p>
    <w:p w:rsidR="00E87229" w:rsidRDefault="00E87229" w:rsidP="00E87229">
      <w:pPr>
        <w:spacing w:after="0" w:line="240" w:lineRule="auto"/>
        <w:jc w:val="both"/>
        <w:rPr>
          <w:rFonts w:ascii="Arial" w:hAnsi="Arial" w:cs="Arial"/>
        </w:rPr>
      </w:pPr>
      <w:r w:rsidRPr="001865EA">
        <w:rPr>
          <w:rFonts w:ascii="Arial" w:hAnsi="Arial" w:cs="Arial"/>
          <w:b/>
        </w:rPr>
        <w:t>Ammissione alla classe successiva e all’esame di Stato</w:t>
      </w:r>
      <w:r w:rsidRPr="001865EA">
        <w:rPr>
          <w:rFonts w:ascii="Arial" w:hAnsi="Arial" w:cs="Arial"/>
        </w:rPr>
        <w:t xml:space="preserve">. </w:t>
      </w:r>
    </w:p>
    <w:p w:rsidR="00E87229" w:rsidRDefault="00E87229" w:rsidP="00E87229">
      <w:pPr>
        <w:spacing w:after="0" w:line="240" w:lineRule="auto"/>
        <w:jc w:val="both"/>
        <w:rPr>
          <w:rFonts w:ascii="Arial" w:hAnsi="Arial" w:cs="Arial"/>
          <w:b/>
        </w:rPr>
      </w:pPr>
      <w:r w:rsidRPr="001865EA">
        <w:rPr>
          <w:rFonts w:ascii="Arial" w:hAnsi="Arial" w:cs="Arial"/>
        </w:rPr>
        <w:t>Sono presi in considerazione, come casi da discutere approfonditamente e in particolare (anche se non esclusivamente) ai fini dell’ammissione alla classe successiva o all’esame di Stato, quelli in cui si registrano almeno 4</w:t>
      </w:r>
      <w:r w:rsidRPr="001865EA">
        <w:rPr>
          <w:rFonts w:ascii="Arial" w:hAnsi="Arial" w:cs="Arial"/>
          <w:b/>
        </w:rPr>
        <w:t xml:space="preserve"> </w:t>
      </w:r>
      <w:r w:rsidRPr="001865EA">
        <w:rPr>
          <w:rFonts w:ascii="Arial" w:hAnsi="Arial" w:cs="Arial"/>
        </w:rPr>
        <w:t xml:space="preserve">insufficienze. Il </w:t>
      </w:r>
      <w:proofErr w:type="spellStart"/>
      <w:r w:rsidRPr="001865EA">
        <w:rPr>
          <w:rFonts w:ascii="Arial" w:hAnsi="Arial" w:cs="Arial"/>
        </w:rPr>
        <w:t>cdc</w:t>
      </w:r>
      <w:proofErr w:type="spellEnd"/>
      <w:r w:rsidRPr="001865EA">
        <w:rPr>
          <w:rFonts w:ascii="Arial" w:hAnsi="Arial" w:cs="Arial"/>
        </w:rPr>
        <w:t xml:space="preserve"> può esprimersi, a favore dell’ammissione alla classe successiva, sulla base della considerazione dei livelli di progresso rispetto alla situazione iniziale, impegno nel metodo di studio, motivazione nel recuperare le lacune di base, la motivata impossibilità a frequentare regolarmente le lezioni, la considerazione secondo cui, pur in assenza di manifestazione di significativi progressi sul piano cognitivo e su quello comportamentale, una ripetenza sarebbe controproducente sul piano formativo</w:t>
      </w:r>
      <w:r w:rsidRPr="001865EA">
        <w:rPr>
          <w:rFonts w:ascii="Arial" w:hAnsi="Arial" w:cs="Arial"/>
          <w:b/>
        </w:rPr>
        <w:t>.</w:t>
      </w:r>
    </w:p>
    <w:p w:rsidR="00E87229" w:rsidRDefault="00E87229" w:rsidP="00E87229">
      <w:pPr>
        <w:spacing w:after="0" w:line="240" w:lineRule="auto"/>
        <w:jc w:val="both"/>
        <w:rPr>
          <w:rFonts w:ascii="Arial" w:hAnsi="Arial" w:cs="Arial"/>
          <w:b/>
          <w:caps/>
        </w:rPr>
      </w:pPr>
    </w:p>
    <w:p w:rsidR="00E87229" w:rsidRPr="00927DE9" w:rsidRDefault="00E87229" w:rsidP="00E87229">
      <w:pPr>
        <w:spacing w:after="0" w:line="240" w:lineRule="auto"/>
        <w:jc w:val="both"/>
        <w:rPr>
          <w:rFonts w:ascii="Arial" w:hAnsi="Arial" w:cs="Arial"/>
          <w:b/>
          <w:color w:val="000000"/>
          <w:lang w:eastAsia="it-IT"/>
        </w:rPr>
      </w:pPr>
      <w:r w:rsidRPr="00927DE9">
        <w:rPr>
          <w:rFonts w:ascii="Arial" w:hAnsi="Arial" w:cs="Arial"/>
          <w:b/>
          <w:caps/>
        </w:rPr>
        <w:t>D</w:t>
      </w:r>
      <w:r w:rsidRPr="00927DE9">
        <w:rPr>
          <w:rFonts w:ascii="Arial" w:hAnsi="Arial" w:cs="Arial"/>
          <w:b/>
          <w:color w:val="000000"/>
          <w:lang w:eastAsia="it-IT"/>
        </w:rPr>
        <w:t>eroghe per la validità dell</w:t>
      </w:r>
      <w:r>
        <w:rPr>
          <w:rFonts w:ascii="Arial" w:hAnsi="Arial" w:cs="Arial"/>
          <w:b/>
          <w:color w:val="000000"/>
          <w:lang w:eastAsia="it-IT"/>
        </w:rPr>
        <w:t>’anno scolastico</w:t>
      </w:r>
    </w:p>
    <w:p w:rsidR="00E87229" w:rsidRPr="00314101" w:rsidRDefault="00E87229" w:rsidP="00E87229">
      <w:pPr>
        <w:spacing w:after="0" w:line="240" w:lineRule="auto"/>
        <w:jc w:val="both"/>
        <w:rPr>
          <w:rFonts w:ascii="Arial" w:hAnsi="Arial" w:cs="Arial"/>
        </w:rPr>
      </w:pPr>
      <w:r w:rsidRPr="00314101">
        <w:rPr>
          <w:rFonts w:ascii="Arial" w:hAnsi="Arial" w:cs="Arial"/>
        </w:rPr>
        <w:t xml:space="preserve">Nella scuola secondaria di primo grado. ai fini della validità </w:t>
      </w:r>
      <w:proofErr w:type="gramStart"/>
      <w:r w:rsidRPr="00314101">
        <w:rPr>
          <w:rFonts w:ascii="Arial" w:hAnsi="Arial" w:cs="Arial"/>
        </w:rPr>
        <w:t>dell' anno</w:t>
      </w:r>
      <w:proofErr w:type="gramEnd"/>
      <w:r w:rsidRPr="00314101">
        <w:rPr>
          <w:rFonts w:ascii="Arial" w:hAnsi="Arial" w:cs="Arial"/>
        </w:rPr>
        <w:t xml:space="preserve"> scolastico è richiesta la frequenza di almeno tre quarti del monte ore annuale. Eventuali deroghe al limite minimo di frequenza previsto sono individuate per casi eccezionali. debitamente documentati, a condizione che la frequenza effettuata dall'alunna o dall'alunno consenta al consiglio di classe di acquisire gli elementi necessari per procedere alla valutazione finale. Tale deroghe sono relative ad assenze dovute a: </w:t>
      </w:r>
    </w:p>
    <w:p w:rsidR="00E87229" w:rsidRPr="00927DE9" w:rsidRDefault="00E87229" w:rsidP="00E87229">
      <w:pPr>
        <w:pStyle w:val="Paragrafoelenco"/>
        <w:numPr>
          <w:ilvl w:val="0"/>
          <w:numId w:val="1"/>
        </w:numPr>
        <w:spacing w:after="0" w:line="240" w:lineRule="auto"/>
        <w:jc w:val="both"/>
        <w:rPr>
          <w:rFonts w:ascii="Arial" w:hAnsi="Arial" w:cs="Arial"/>
          <w:b/>
          <w:caps/>
        </w:rPr>
      </w:pPr>
      <w:r w:rsidRPr="00927DE9">
        <w:rPr>
          <w:rFonts w:ascii="Arial" w:hAnsi="Arial" w:cs="Arial"/>
          <w:color w:val="000000"/>
          <w:lang w:eastAsia="it-IT"/>
        </w:rPr>
        <w:t xml:space="preserve">gravi motivi di salute adeguatamente documentati; </w:t>
      </w:r>
    </w:p>
    <w:p w:rsidR="00E87229" w:rsidRPr="00927DE9" w:rsidRDefault="00E87229" w:rsidP="00E87229">
      <w:pPr>
        <w:pStyle w:val="Paragrafoelenco"/>
        <w:numPr>
          <w:ilvl w:val="0"/>
          <w:numId w:val="1"/>
        </w:numPr>
        <w:spacing w:after="0" w:line="240" w:lineRule="auto"/>
        <w:jc w:val="both"/>
        <w:rPr>
          <w:rFonts w:ascii="Arial" w:hAnsi="Arial" w:cs="Arial"/>
          <w:b/>
          <w:caps/>
        </w:rPr>
      </w:pPr>
      <w:r w:rsidRPr="00927DE9">
        <w:rPr>
          <w:rFonts w:ascii="Arial" w:hAnsi="Arial" w:cs="Arial"/>
          <w:color w:val="000000"/>
          <w:lang w:eastAsia="it-IT"/>
        </w:rPr>
        <w:t xml:space="preserve">terapie e/o cure programmate; </w:t>
      </w:r>
    </w:p>
    <w:p w:rsidR="00E87229" w:rsidRPr="00927DE9" w:rsidRDefault="00E87229" w:rsidP="00E87229">
      <w:pPr>
        <w:pStyle w:val="Paragrafoelenco"/>
        <w:numPr>
          <w:ilvl w:val="0"/>
          <w:numId w:val="1"/>
        </w:numPr>
        <w:spacing w:after="0" w:line="240" w:lineRule="auto"/>
        <w:jc w:val="both"/>
        <w:rPr>
          <w:rFonts w:ascii="Arial" w:hAnsi="Arial" w:cs="Arial"/>
          <w:b/>
          <w:caps/>
        </w:rPr>
      </w:pPr>
      <w:r w:rsidRPr="00927DE9">
        <w:rPr>
          <w:rFonts w:ascii="Arial" w:hAnsi="Arial" w:cs="Arial"/>
          <w:color w:val="000000"/>
          <w:lang w:eastAsia="it-IT"/>
        </w:rPr>
        <w:t xml:space="preserve">donazioni di sangue; </w:t>
      </w:r>
    </w:p>
    <w:p w:rsidR="00E87229" w:rsidRPr="00927DE9" w:rsidRDefault="00E87229" w:rsidP="00E87229">
      <w:pPr>
        <w:pStyle w:val="Paragrafoelenco"/>
        <w:numPr>
          <w:ilvl w:val="0"/>
          <w:numId w:val="1"/>
        </w:numPr>
        <w:spacing w:after="0" w:line="240" w:lineRule="auto"/>
        <w:jc w:val="both"/>
        <w:rPr>
          <w:rFonts w:ascii="Arial" w:hAnsi="Arial" w:cs="Arial"/>
          <w:b/>
          <w:caps/>
        </w:rPr>
      </w:pPr>
      <w:r w:rsidRPr="00927DE9">
        <w:rPr>
          <w:rFonts w:ascii="Arial" w:hAnsi="Arial" w:cs="Arial"/>
          <w:color w:val="000000"/>
          <w:lang w:eastAsia="it-IT"/>
        </w:rPr>
        <w:t xml:space="preserve">partecipazione ad attività sportive e agonistiche organizzate da federazioni riconosciute dal C.O.N.I.; </w:t>
      </w:r>
    </w:p>
    <w:p w:rsidR="00E87229" w:rsidRPr="00314101" w:rsidRDefault="00E87229" w:rsidP="00E87229">
      <w:pPr>
        <w:pStyle w:val="Paragrafoelenco"/>
        <w:numPr>
          <w:ilvl w:val="0"/>
          <w:numId w:val="1"/>
        </w:numPr>
        <w:spacing w:after="0" w:line="240" w:lineRule="auto"/>
        <w:jc w:val="both"/>
        <w:rPr>
          <w:rFonts w:ascii="Arial" w:hAnsi="Arial" w:cs="Arial"/>
          <w:b/>
          <w:caps/>
        </w:rPr>
      </w:pPr>
      <w:r w:rsidRPr="00927DE9">
        <w:rPr>
          <w:rFonts w:ascii="Arial" w:hAnsi="Arial" w:cs="Arial"/>
          <w:color w:val="000000"/>
          <w:lang w:eastAsia="it-IT"/>
        </w:rPr>
        <w:t>adesione a confessioni religiose per le quali esistono specifiche intese.</w:t>
      </w:r>
    </w:p>
    <w:p w:rsidR="00E87229" w:rsidRPr="00927DE9" w:rsidRDefault="00E87229" w:rsidP="00E87229">
      <w:pPr>
        <w:pStyle w:val="Paragrafoelenco"/>
        <w:spacing w:after="0" w:line="240" w:lineRule="auto"/>
        <w:ind w:left="360"/>
        <w:jc w:val="both"/>
        <w:rPr>
          <w:rFonts w:ascii="Arial" w:hAnsi="Arial" w:cs="Arial"/>
          <w:b/>
          <w:caps/>
        </w:rPr>
      </w:pPr>
    </w:p>
    <w:p w:rsidR="00E87229" w:rsidRPr="001865EA" w:rsidRDefault="00E87229" w:rsidP="00E87229">
      <w:pPr>
        <w:spacing w:after="0" w:line="240" w:lineRule="auto"/>
        <w:jc w:val="both"/>
        <w:rPr>
          <w:rFonts w:ascii="Arial" w:hAnsi="Arial" w:cs="Arial"/>
          <w:b/>
        </w:rPr>
      </w:pPr>
      <w:r w:rsidRPr="001865EA">
        <w:rPr>
          <w:rFonts w:ascii="Arial" w:hAnsi="Arial" w:cs="Arial"/>
          <w:b/>
        </w:rPr>
        <w:t xml:space="preserve">Voto di ammissione all’esame di Stato </w:t>
      </w:r>
    </w:p>
    <w:p w:rsidR="00E87229" w:rsidRPr="001865EA" w:rsidRDefault="00E87229" w:rsidP="00E87229">
      <w:pPr>
        <w:spacing w:after="0" w:line="240" w:lineRule="auto"/>
        <w:jc w:val="both"/>
        <w:rPr>
          <w:rFonts w:ascii="Arial" w:hAnsi="Arial" w:cs="Arial"/>
          <w:color w:val="000000"/>
          <w:lang w:eastAsia="it-IT"/>
        </w:rPr>
      </w:pPr>
      <w:r w:rsidRPr="001865EA">
        <w:rPr>
          <w:rFonts w:ascii="Arial" w:hAnsi="Arial" w:cs="Arial"/>
          <w:color w:val="000000"/>
          <w:lang w:eastAsia="it-IT"/>
        </w:rPr>
        <w:t>Il voto di ammissione, espresso in decimi, tiene conto del percorso scolastico compiuto dal candidato nel corso del triennio e viene definito dal Consiglio di Classe in occasione degli scrutini.</w:t>
      </w:r>
    </w:p>
    <w:p w:rsidR="00E87229" w:rsidRDefault="00E87229" w:rsidP="00E87229">
      <w:pPr>
        <w:autoSpaceDE w:val="0"/>
        <w:autoSpaceDN w:val="0"/>
        <w:adjustRightInd w:val="0"/>
        <w:spacing w:after="0" w:line="240" w:lineRule="auto"/>
        <w:jc w:val="both"/>
        <w:rPr>
          <w:rFonts w:ascii="Arial" w:hAnsi="Arial" w:cs="Arial"/>
        </w:rPr>
      </w:pPr>
      <w:r w:rsidRPr="001865EA">
        <w:rPr>
          <w:rFonts w:ascii="Arial" w:hAnsi="Arial" w:cs="Arial"/>
        </w:rPr>
        <w:t>Si prende in considerazione la media complessiva delle valutazioni del terzo anno (nella consapevolezza che la media non si identifica necessariamente col voto di ammissione) e si procede alla valutazione complessiva del percorso formativo compiuto rispetto agli anni scolastici precedenti e dei progressi compiuti rispetto ai livelli di partenza.</w:t>
      </w:r>
    </w:p>
    <w:p w:rsidR="00E87229" w:rsidRPr="00927DE9" w:rsidRDefault="00E87229" w:rsidP="00E87229">
      <w:pPr>
        <w:autoSpaceDE w:val="0"/>
        <w:autoSpaceDN w:val="0"/>
        <w:adjustRightInd w:val="0"/>
        <w:spacing w:after="0" w:line="240" w:lineRule="auto"/>
        <w:jc w:val="both"/>
        <w:rPr>
          <w:rFonts w:ascii="Arial" w:hAnsi="Arial" w:cs="Arial"/>
          <w:b/>
        </w:rPr>
      </w:pPr>
    </w:p>
    <w:p w:rsidR="00E87229" w:rsidRPr="00927DE9" w:rsidRDefault="00E87229" w:rsidP="00E87229">
      <w:pPr>
        <w:autoSpaceDE w:val="0"/>
        <w:autoSpaceDN w:val="0"/>
        <w:adjustRightInd w:val="0"/>
        <w:spacing w:after="0" w:line="240" w:lineRule="auto"/>
        <w:jc w:val="both"/>
        <w:rPr>
          <w:rFonts w:ascii="Arial" w:hAnsi="Arial" w:cs="Arial"/>
          <w:b/>
        </w:rPr>
      </w:pPr>
      <w:r w:rsidRPr="00927DE9">
        <w:rPr>
          <w:rFonts w:ascii="Arial" w:hAnsi="Arial" w:cs="Arial"/>
          <w:b/>
        </w:rPr>
        <w:t>Voto finale</w:t>
      </w:r>
    </w:p>
    <w:p w:rsidR="00E87229" w:rsidRPr="001865EA" w:rsidRDefault="00E87229" w:rsidP="00E87229">
      <w:pPr>
        <w:autoSpaceDE w:val="0"/>
        <w:autoSpaceDN w:val="0"/>
        <w:adjustRightInd w:val="0"/>
        <w:spacing w:after="0" w:line="240" w:lineRule="auto"/>
        <w:jc w:val="both"/>
        <w:rPr>
          <w:rFonts w:ascii="Arial" w:hAnsi="Arial" w:cs="Arial"/>
        </w:rPr>
      </w:pPr>
      <w:r w:rsidRPr="001865EA">
        <w:rPr>
          <w:rFonts w:ascii="Arial" w:hAnsi="Arial" w:cs="Arial"/>
        </w:rPr>
        <w:t>Il voto finale – che potrebbe non confermare il voto di ammissione - viene determinato dalla media del voto di ammissione con la media dei voti attribuiti alle prove scritte e al colloquio (la sottocommissione determina la media dei voti delle prove scritte e del Colloquio, esprimendo un unico voto, eventualmente anche con frazione decimale, senza alcun arrotondamento. La media di tale voto con il voto di ammissione determina il voto finale che, se espresso con frazione decimale pari o superiore a 0.5. viene arrotondato all'unità superiore).</w:t>
      </w:r>
    </w:p>
    <w:p w:rsidR="00E87229" w:rsidRPr="001865EA" w:rsidRDefault="00E87229" w:rsidP="00E87229">
      <w:pPr>
        <w:spacing w:after="0" w:line="240" w:lineRule="auto"/>
        <w:jc w:val="both"/>
        <w:rPr>
          <w:rFonts w:ascii="Arial" w:hAnsi="Arial" w:cs="Arial"/>
          <w:u w:val="single"/>
        </w:rPr>
      </w:pPr>
    </w:p>
    <w:p w:rsidR="00E87229" w:rsidRPr="001865EA" w:rsidRDefault="00E87229" w:rsidP="00E87229">
      <w:pPr>
        <w:autoSpaceDE w:val="0"/>
        <w:autoSpaceDN w:val="0"/>
        <w:adjustRightInd w:val="0"/>
        <w:spacing w:after="0" w:line="240" w:lineRule="auto"/>
        <w:jc w:val="both"/>
        <w:rPr>
          <w:rFonts w:ascii="Arial" w:hAnsi="Arial" w:cs="Arial"/>
          <w:u w:val="single"/>
        </w:rPr>
      </w:pPr>
    </w:p>
    <w:p w:rsidR="00E87229" w:rsidRPr="001865EA" w:rsidRDefault="00E87229" w:rsidP="00E87229">
      <w:pPr>
        <w:spacing w:after="0" w:line="240" w:lineRule="auto"/>
        <w:jc w:val="both"/>
        <w:rPr>
          <w:rFonts w:ascii="Arial" w:hAnsi="Arial" w:cs="Arial"/>
        </w:rPr>
      </w:pPr>
    </w:p>
    <w:p w:rsidR="008365D6" w:rsidRDefault="008365D6"/>
    <w:sectPr w:rsidR="008365D6" w:rsidSect="00EB2CD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269C4"/>
    <w:multiLevelType w:val="hybridMultilevel"/>
    <w:tmpl w:val="849AAE10"/>
    <w:lvl w:ilvl="0" w:tplc="FE86E42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29"/>
    <w:rsid w:val="008365D6"/>
    <w:rsid w:val="00E87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AFC8"/>
  <w15:chartTrackingRefBased/>
  <w15:docId w15:val="{7C1951A4-5E0E-421A-B403-79B8F242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722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Poliziano</dc:creator>
  <cp:keywords/>
  <dc:description/>
  <cp:lastModifiedBy>Poliziano</cp:lastModifiedBy>
  <cp:revision>1</cp:revision>
  <dcterms:created xsi:type="dcterms:W3CDTF">2018-05-22T07:15:00Z</dcterms:created>
  <dcterms:modified xsi:type="dcterms:W3CDTF">2018-05-22T07:16:00Z</dcterms:modified>
</cp:coreProperties>
</file>